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66"/>
          <w:sz w:val="72"/>
          <w:szCs w:val="7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1024890</wp:posOffset>
                </wp:positionH>
                <wp:positionV relativeFrom="margin">
                  <wp:posOffset>702310</wp:posOffset>
                </wp:positionV>
                <wp:extent cx="5760720" cy="0"/>
                <wp:effectExtent l="0" t="13970" r="5080" b="2413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80.7pt;margin-top:55.3pt;height:0pt;width:453.6pt;mso-position-horizontal-relative:page;mso-position-vertical-relative:margin;z-index:-251656192;mso-width-relative:page;mso-height-relative:page;" filled="f" stroked="t" coordsize="21600,21600" o:gfxdata="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Sf711gAAAAwBAAAPAAAAAAAAAAEAIAAA&#10;ACIAAABkcnMvZG93bnJldi54bWxQSwECFAAUAAAACACHTuJAnGRK4dUBAADOAwAADgAAAAAAAAAB&#10;ACAAAAAlAQAAZHJzL2Uyb0RvYy54bWxQSwUGAAAAAAYABgBZAQAAb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66"/>
          <w:sz w:val="72"/>
          <w:szCs w:val="72"/>
        </w:rPr>
        <w:t>中国物流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66"/>
          <w:sz w:val="72"/>
          <w:szCs w:val="72"/>
          <w:lang w:val="en-US"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66"/>
          <w:sz w:val="72"/>
          <w:szCs w:val="72"/>
        </w:rPr>
        <w:t>采购联合会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66"/>
          <w:sz w:val="72"/>
          <w:szCs w:val="72"/>
          <w:lang w:val="en-US" w:eastAsia="zh-CN"/>
        </w:rPr>
        <w:t>医药物流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66"/>
          <w:sz w:val="72"/>
          <w:szCs w:val="72"/>
        </w:rPr>
        <w:t>分会</w:t>
      </w:r>
    </w:p>
    <w:p>
      <w:pPr>
        <w:pStyle w:val="4"/>
        <w:spacing w:before="1"/>
        <w:rPr>
          <w:rFonts w:ascii="微软雅黑"/>
          <w:sz w:val="13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2"/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各级会员单位说明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9" w:line="560" w:lineRule="atLeast"/>
        <w:ind w:right="-268" w:rightChars="-122" w:firstLine="608" w:firstLineChars="200"/>
        <w:textAlignment w:val="auto"/>
        <w:rPr>
          <w:sz w:val="32"/>
          <w:szCs w:val="32"/>
        </w:rPr>
      </w:pPr>
      <w:r>
        <w:rPr>
          <w:spacing w:val="-8"/>
          <w:sz w:val="32"/>
          <w:szCs w:val="32"/>
        </w:rPr>
        <w:t>中国物流与采购联合会医药物流分会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（以下简称“分会”）</w:t>
      </w:r>
      <w:r>
        <w:rPr>
          <w:spacing w:val="-8"/>
          <w:sz w:val="32"/>
          <w:szCs w:val="32"/>
        </w:rPr>
        <w:t>是由在国内外从事药品、保健品</w:t>
      </w:r>
      <w:r>
        <w:rPr>
          <w:spacing w:val="-12"/>
          <w:sz w:val="32"/>
          <w:szCs w:val="32"/>
        </w:rPr>
        <w:t>、流通、物流、装备制造、信息化等企业，为实现共同</w:t>
      </w:r>
      <w:r>
        <w:rPr>
          <w:spacing w:val="-13"/>
          <w:sz w:val="32"/>
          <w:szCs w:val="32"/>
        </w:rPr>
        <w:t>意愿而自愿组成的行业性、非营利性社会团体，隶属中国物流与采购联合会，是其重要分支机构。医药物流分会在中国物流与采购联合会指导下开</w:t>
      </w:r>
      <w:r>
        <w:rPr>
          <w:spacing w:val="-12"/>
          <w:sz w:val="32"/>
          <w:szCs w:val="32"/>
        </w:rPr>
        <w:t>展工作，其主要服务范围包括：行业信息统计、标准制定、修订、人才培</w:t>
      </w:r>
      <w:r>
        <w:rPr>
          <w:spacing w:val="-18"/>
          <w:sz w:val="32"/>
          <w:szCs w:val="32"/>
        </w:rPr>
        <w:t>训教育、行业自律等行业基础工作，以及举办专业领域技术、装备、研讨、</w:t>
      </w:r>
      <w:r>
        <w:rPr>
          <w:spacing w:val="-5"/>
          <w:sz w:val="32"/>
          <w:szCs w:val="32"/>
        </w:rPr>
        <w:t>论坛、咨询、交流等活动。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atLeast"/>
        <w:ind w:right="-268" w:rightChars="-122" w:firstLine="600" w:firstLineChars="200"/>
        <w:textAlignment w:val="auto"/>
        <w:rPr>
          <w:spacing w:val="-5"/>
          <w:sz w:val="32"/>
          <w:szCs w:val="32"/>
        </w:rPr>
      </w:pPr>
      <w:r>
        <w:rPr>
          <w:spacing w:val="-10"/>
          <w:sz w:val="32"/>
          <w:szCs w:val="32"/>
        </w:rPr>
        <w:t>为更好地推动医药物流行业创新发展，增强行业凝聚力，进一步提升</w:t>
      </w:r>
      <w:r>
        <w:rPr>
          <w:spacing w:val="-15"/>
          <w:sz w:val="32"/>
          <w:szCs w:val="32"/>
        </w:rPr>
        <w:t>医药物流分会在行业内的代表性和权威性，本会诚挚邀请广大生产</w:t>
      </w:r>
      <w:r>
        <w:rPr>
          <w:spacing w:val="-3"/>
          <w:sz w:val="32"/>
          <w:szCs w:val="32"/>
        </w:rPr>
        <w:t>（</w:t>
      </w:r>
      <w:r>
        <w:rPr>
          <w:sz w:val="32"/>
          <w:szCs w:val="32"/>
        </w:rPr>
        <w:t>药品、</w:t>
      </w:r>
      <w:r>
        <w:rPr>
          <w:spacing w:val="-6"/>
          <w:sz w:val="32"/>
          <w:szCs w:val="32"/>
        </w:rPr>
        <w:t>保健品</w:t>
      </w:r>
      <w:r>
        <w:rPr>
          <w:spacing w:val="-20"/>
          <w:sz w:val="32"/>
          <w:szCs w:val="32"/>
        </w:rPr>
        <w:t>）</w:t>
      </w:r>
      <w:r>
        <w:rPr>
          <w:spacing w:val="-9"/>
          <w:sz w:val="32"/>
          <w:szCs w:val="32"/>
        </w:rPr>
        <w:t>企业、药品批发企业、零售企业、物流服务企业、装</w:t>
      </w:r>
      <w:r>
        <w:rPr>
          <w:spacing w:val="-13"/>
          <w:sz w:val="32"/>
          <w:szCs w:val="32"/>
        </w:rPr>
        <w:t>备制造企业、信息化系统集成、协会院校、科研机构等行业相关单位加入</w:t>
      </w:r>
      <w:r>
        <w:rPr>
          <w:spacing w:val="-5"/>
          <w:sz w:val="32"/>
          <w:szCs w:val="32"/>
        </w:rPr>
        <w:t>本分会。</w:t>
      </w:r>
    </w:p>
    <w:p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pacing w:before="4" w:line="560" w:lineRule="atLeast"/>
        <w:ind w:right="-268" w:rightChars="-12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一、分会职能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第一条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贯彻党和国家有关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供应链方面的方针、政策和法规，研究贯彻中出现的问题，向政府有关部门反映企业正当愿望和合理诉求，维护企业合法权益。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受政府或有关方面委托，组织和实施行业调查与行业统计，向政府有关部门提出行业发展规划、行业产业政策、经济立法等建议，并参与有关活动。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开展市场调查，分析市场形势，开发信息资源，建立信息网络，为会员、企事业单位、政府部门提供信息咨询服务。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推进本行业的企业改革与产业发展，表彰先进，组织经验交流，提高企业现代化管理水平。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第五条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组织现代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供应链理论以及流通经济理论、电子商务、政府与</w:t>
      </w:r>
      <w:r>
        <w:rPr>
          <w:rFonts w:hint="eastAsia" w:cs="仿宋"/>
          <w:sz w:val="32"/>
          <w:szCs w:val="32"/>
          <w:lang w:val="en-US" w:eastAsia="zh-CN"/>
        </w:rPr>
        <w:t>集采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、理论与实务研究，举办各种类型的学术研讨会、报告会，促进现代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供应链理论和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流通经济理论水平的提高。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开展行业自律，制定行规行约，经政府部门批准或授权委托下，参与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供应链方面国家标准和行业标准的制修订，参与行业职业技能鉴定和质量认证，不断提高行业素质和职业道德水准。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采取多种形式为企业培训各种专业人员，提高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供应链领域从业人员的专业素质。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协助政府加强行业法制建设，促进公开、公平、公正的市场秩序的建立，接受委托参与协调行业之间的经济、法律关系，调解会员之间纠纷，为会员提供法律咨询服务。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组织本行业开展各项与国外有关经济组织和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供应链团体的活动，包括组织考察、人才培训、举办展览、经贸洽谈等，促进会员发展对外贸易、经济技术、科学管理、学术研究以及合作与交流。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组织国际性、全国性和区域性展览、会议活动，提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供应链领域的科技含量，以信息化带动</w:t>
      </w:r>
      <w:r>
        <w:rPr>
          <w:rFonts w:hint="eastAsia" w:cs="仿宋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供应链现代化发展。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组织发展行业的公益事业，参与和开展有益于提高本行业社会地位的各种社会活动。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经政府相关部门批准主管、主办相关行业报刊、网站与数字媒体、年鉴、资料和出版物。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承担政府有关部门委托的其他工作任务。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二、入会要求：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第一条 申请加入本会的会员，必须具备下列条件：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（一）拥护本会的章程；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（二）企业成立满一年，提供企业法人营业执照复印件证明；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（三）首次入会企业，除特邀发起单位外，原则上从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普通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会员入起；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（四）企业在入会时根据企业类型需提交以下数据：员工人数、年度营业额，企业服务客户、主要业务范围（加入会员后以上数据每年定期提供更新）；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（五）企业需提供主要负责人（如：董事长、总裁、总经理）的联系方式；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（六）确定一名日常与分会联系的固定对接人，与分会保持良好的沟通，可提出企业所需分会的支持与帮助，同时负责分会的各种调研工作的资料提供；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（七）每年会员代表大会各级会员单位需准时派人参加；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（八）如果行业企业对于其本会各级会会员单位的投诉率超过三次，并经过分会调查了解，事态恶劣，分会将有权对被投诉企业进行会员除名处理；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（九）企业晋级原则需每年提出书面申请，经理事会通过方可进行会员级别晋升；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（十）注册副会长单位级别的企业，必须有两家副会长单位以书面形式进行推荐，并通过理事会审批，方可进行申请注册；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第二条 入会程序：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（一）申请单位提交入会申请书；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（二）经本会理事会讨论通过；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第三条 享有以下权利：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一）本会的选举权、被选举权和表决权；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（二）参加本会活动；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（三）获得本会服务优先权；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（四）对本会工作的批评建议权和监督权；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（五）要求本会对其合法权益和业务活动给予支持；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（六）入会自愿，退会自由。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第四条 履行下列义务：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（一）执行本会的决议；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（二）维护本会的合法权益；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（三）完成本会交办的工作；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（四）按规定交纳会费，并可自愿提供资助；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（五）向本会反映情况，提供有关资料。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line="560" w:lineRule="atLeas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、会费指定账号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45" w:line="560" w:lineRule="atLeast"/>
        <w:ind w:right="-5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t>账户名称：</w:t>
      </w:r>
      <w:r>
        <w:rPr>
          <w:rFonts w:hint="eastAsia"/>
          <w:sz w:val="32"/>
          <w:szCs w:val="32"/>
        </w:rPr>
        <w:t>北京中物医联企业管理有限公司</w:t>
      </w:r>
    </w:p>
    <w:p>
      <w:pPr>
        <w:pStyle w:val="4"/>
        <w:keepNext w:val="0"/>
        <w:keepLines w:val="0"/>
        <w:pageBreakBefore w:val="0"/>
        <w:tabs>
          <w:tab w:val="left" w:pos="8360"/>
        </w:tabs>
        <w:kinsoku/>
        <w:wordWrap/>
        <w:overflowPunct/>
        <w:topLinePunct w:val="0"/>
        <w:bidi w:val="0"/>
        <w:adjustRightInd/>
        <w:spacing w:before="145" w:line="560" w:lineRule="atLeast"/>
        <w:ind w:right="-5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t>开户名称：</w:t>
      </w:r>
      <w:r>
        <w:rPr>
          <w:rFonts w:hint="eastAsia"/>
          <w:sz w:val="32"/>
          <w:szCs w:val="32"/>
        </w:rPr>
        <w:t>北京中物医联企业管理有限公司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45" w:line="560" w:lineRule="atLeast"/>
        <w:ind w:right="-50" w:rightChars="0" w:firstLine="640" w:firstLineChars="20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开 户 行：</w:t>
      </w:r>
      <w:r>
        <w:rPr>
          <w:rFonts w:hint="eastAsia"/>
          <w:sz w:val="32"/>
          <w:szCs w:val="32"/>
        </w:rPr>
        <w:t>招商银行股份有限公司北京万寿路支行</w:t>
      </w:r>
    </w:p>
    <w:p>
      <w:pPr>
        <w:pStyle w:val="4"/>
        <w:keepNext w:val="0"/>
        <w:keepLines w:val="0"/>
        <w:pageBreakBefore w:val="0"/>
        <w:tabs>
          <w:tab w:val="left" w:pos="2267"/>
        </w:tabs>
        <w:kinsoku/>
        <w:wordWrap/>
        <w:overflowPunct/>
        <w:topLinePunct w:val="0"/>
        <w:bidi w:val="0"/>
        <w:adjustRightInd/>
        <w:spacing w:before="2" w:line="560" w:lineRule="atLeast"/>
        <w:ind w:firstLine="640" w:firstLineChars="200"/>
        <w:jc w:val="lef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sz w:val="32"/>
          <w:szCs w:val="32"/>
        </w:rPr>
        <w:t>帐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号：</w:t>
      </w:r>
      <w:r>
        <w:rPr>
          <w:rFonts w:hint="eastAsia"/>
          <w:sz w:val="32"/>
          <w:szCs w:val="32"/>
        </w:rPr>
        <w:t>110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941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217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710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90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tabs>
          <w:tab w:val="left" w:pos="2267"/>
        </w:tabs>
        <w:kinsoku/>
        <w:wordWrap/>
        <w:overflowPunct/>
        <w:topLinePunct w:val="0"/>
        <w:bidi w:val="0"/>
        <w:adjustRightInd/>
        <w:spacing w:before="2" w:line="560" w:lineRule="atLeast"/>
        <w:jc w:val="left"/>
        <w:textAlignment w:val="auto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tabs>
          <w:tab w:val="left" w:pos="2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atLeas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、联系方式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cs="仿宋"/>
          <w:color w:val="000000"/>
          <w:kern w:val="0"/>
          <w:sz w:val="32"/>
          <w:szCs w:val="32"/>
          <w:lang w:val="en-US" w:eastAsia="zh-CN" w:bidi="ar"/>
        </w:rPr>
        <w:t>常洋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话：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18610639524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邮</w:t>
      </w:r>
      <w:r>
        <w:rPr>
          <w:rFonts w:hint="eastAsia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箱：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changyang@cpl.org.cn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</w:pPr>
      <w:r>
        <w:rPr>
          <w:sz w:val="32"/>
          <w:szCs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3921125</wp:posOffset>
            </wp:positionH>
            <wp:positionV relativeFrom="paragraph">
              <wp:posOffset>222885</wp:posOffset>
            </wp:positionV>
            <wp:extent cx="2273935" cy="2228215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40" w:firstLineChars="200"/>
        <w:jc w:val="left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atLeast"/>
        <w:jc w:val="left"/>
        <w:textAlignment w:val="auto"/>
        <w:rPr>
          <w:spacing w:val="-3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atLeast"/>
        <w:ind w:firstLine="3140" w:firstLineChars="1000"/>
        <w:jc w:val="left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中国物流与采购联合会医药物流分会</w:t>
      </w:r>
    </w:p>
    <w:p>
      <w:pPr>
        <w:pStyle w:val="4"/>
        <w:spacing w:before="203"/>
        <w:ind w:firstLine="5338" w:firstLineChars="1700"/>
      </w:pPr>
      <w:r>
        <w:rPr>
          <w:rFonts w:hint="eastAsia"/>
          <w:spacing w:val="-3"/>
          <w:sz w:val="32"/>
          <w:szCs w:val="32"/>
          <w:lang w:val="en-US" w:eastAsia="zh-CN"/>
        </w:rPr>
        <w:t>2023</w:t>
      </w:r>
      <w:r>
        <w:rPr>
          <w:spacing w:val="-3"/>
          <w:sz w:val="32"/>
          <w:szCs w:val="32"/>
        </w:rPr>
        <w:t>年</w:t>
      </w:r>
      <w:r>
        <w:rPr>
          <w:rFonts w:hint="eastAsia"/>
          <w:spacing w:val="-3"/>
          <w:sz w:val="32"/>
          <w:szCs w:val="32"/>
          <w:lang w:val="en-US" w:eastAsia="zh-CN"/>
        </w:rPr>
        <w:t>1</w:t>
      </w:r>
      <w:r>
        <w:rPr>
          <w:spacing w:val="-3"/>
          <w:sz w:val="32"/>
          <w:szCs w:val="32"/>
        </w:rPr>
        <w:t>月</w:t>
      </w:r>
      <w:r>
        <w:rPr>
          <w:rFonts w:hint="eastAsia"/>
          <w:spacing w:val="-3"/>
          <w:sz w:val="32"/>
          <w:szCs w:val="32"/>
          <w:lang w:val="en-US" w:eastAsia="zh-CN"/>
        </w:rPr>
        <w:t>5</w:t>
      </w:r>
      <w:r>
        <w:rPr>
          <w:spacing w:val="-3"/>
          <w:sz w:val="32"/>
          <w:szCs w:val="32"/>
        </w:rPr>
        <w:t>日</w:t>
      </w:r>
    </w:p>
    <w:p>
      <w:pPr>
        <w:spacing w:after="0"/>
        <w:sectPr>
          <w:footerReference r:id="rId5" w:type="default"/>
          <w:pgSz w:w="11910" w:h="16840"/>
          <w:pgMar w:top="1440" w:right="1310" w:bottom="1440" w:left="1800" w:header="0" w:footer="910" w:gutter="0"/>
          <w:cols w:space="720" w:num="1"/>
        </w:sectPr>
      </w:pPr>
    </w:p>
    <w:p>
      <w:pPr>
        <w:pStyle w:val="3"/>
        <w:ind w:left="0" w:leftChars="0" w:firstLine="0" w:firstLineChars="0"/>
      </w:pPr>
      <w:r>
        <w:t>附件 1：中国物流与采购联合会医药物流分会会员级别及服务内容</w:t>
      </w:r>
    </w:p>
    <w:tbl>
      <w:tblPr>
        <w:tblStyle w:val="6"/>
        <w:tblpPr w:leftFromText="180" w:rightFromText="180" w:vertAnchor="text" w:horzAnchor="page" w:tblpX="999" w:tblpY="21"/>
        <w:tblOverlap w:val="never"/>
        <w:tblW w:w="1004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870"/>
        <w:gridCol w:w="12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99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1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w w:val="95"/>
                <w:sz w:val="28"/>
                <w:szCs w:val="28"/>
              </w:rPr>
              <w:t>会员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4" w:line="96" w:lineRule="auto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  <w:szCs w:val="28"/>
              </w:rPr>
              <w:t>级别</w:t>
            </w:r>
          </w:p>
        </w:tc>
        <w:tc>
          <w:tcPr>
            <w:tcW w:w="78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192" w:lineRule="auto"/>
              <w:textAlignment w:val="auto"/>
              <w:rPr>
                <w:rFonts w:ascii="宋体"/>
                <w:b/>
                <w:sz w:val="22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right="3323" w:firstLine="281" w:firstLineChars="100"/>
              <w:jc w:val="both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                </w:t>
            </w:r>
            <w:r>
              <w:rPr>
                <w:b/>
                <w:sz w:val="28"/>
              </w:rPr>
              <w:t>服务</w:t>
            </w:r>
            <w:r>
              <w:rPr>
                <w:rFonts w:hint="eastAsia"/>
                <w:b/>
                <w:sz w:val="28"/>
                <w:lang w:eastAsia="zh-CN"/>
              </w:rPr>
              <w:t>与内</w:t>
            </w:r>
            <w:r>
              <w:rPr>
                <w:b/>
                <w:sz w:val="28"/>
              </w:rPr>
              <w:t>容</w:t>
            </w:r>
          </w:p>
        </w:tc>
        <w:tc>
          <w:tcPr>
            <w:tcW w:w="127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auto"/>
              <w:ind w:right="357" w:firstLine="281" w:firstLineChars="100"/>
              <w:jc w:val="both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会费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4" w:line="96" w:lineRule="auto"/>
              <w:ind w:left="11" w:right="210"/>
              <w:jc w:val="distribute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（RMB）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899" w:type="dxa"/>
            <w:vMerge w:val="restart"/>
          </w:tcPr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副会长单位</w:t>
            </w:r>
          </w:p>
        </w:tc>
        <w:tc>
          <w:tcPr>
            <w:tcW w:w="787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val="en-US" w:eastAsia="zh-CN"/>
              </w:rPr>
              <w:t>入会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</w:rPr>
              <w:t>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1.自愿加入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2.公司成立满两年，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营业额达到1亿以上或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其所属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前50强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3.加入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常务理事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满一年后可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申请，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在理事代表大会或会员代表大会上表决通过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符合相关法律法规，合法注册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经营的企业，无行业不良影响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5.有意愿积极参与协会组织开展的各项工作。</w:t>
            </w:r>
          </w:p>
        </w:tc>
        <w:tc>
          <w:tcPr>
            <w:tcW w:w="1277" w:type="dxa"/>
            <w:vMerge w:val="restart"/>
          </w:tcPr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172"/>
              <w:ind w:left="28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0，000/</w:t>
            </w:r>
          </w:p>
          <w:p>
            <w:pPr>
              <w:pStyle w:val="12"/>
              <w:spacing w:before="150"/>
              <w:ind w:left="2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年</w:t>
            </w:r>
          </w:p>
          <w:p>
            <w:pPr>
              <w:pStyle w:val="12"/>
              <w:ind w:left="-152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1" w:hRule="atLeast"/>
        </w:trPr>
        <w:tc>
          <w:tcPr>
            <w:tcW w:w="899" w:type="dxa"/>
            <w:vMerge w:val="continue"/>
          </w:tcPr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  <w:t>（二）享受的权益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就行业动态、企业产品发布、重大资讯、企业观点等采访一次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参与制定协会年度工作计划及指导协会日常工作开展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协会对于行业的研究形成报告定期发送给副会长单位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颁发中国物流与采购联合会医药物流分会副会长单位铭牌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颁发中国物流与采购联合会医药物流分会副会长个人证书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参与会长办公会共同研究决定医药物流分会发展方向，任期满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有优先选举权和被选举权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同等情况下副会长单位拥有医药物流分会相关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的优先参与权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在医药物流分会官网首页设立图片广告，与企业网站建立链接（12 个月）同时在首页重点推荐栏目对副会长单位进行重点推荐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医药物流分会官方微信平台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在会员期内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企业相关新闻4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在医药物流分会官方网站中发布软文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（内容符合相关法律法规）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color w:val="auto"/>
                <w:spacing w:val="-15"/>
                <w:sz w:val="24"/>
                <w:szCs w:val="24"/>
              </w:rPr>
              <w:t>副会长本人参加分会相关品牌会议，全程享受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  <w:t>VIP待遇</w:t>
            </w:r>
            <w:r>
              <w:rPr>
                <w:rFonts w:hint="default" w:ascii="仿宋" w:hAnsi="仿宋" w:eastAsia="仿宋" w:cs="仿宋"/>
                <w:color w:val="auto"/>
                <w:spacing w:val="-14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12.每年可获得3本医药物流分会当年出版的《中国医药物流行业发展报告》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可在医药物流分会当年出版的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《中国医药物流行业发展报告》发布案例一篇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加入分会会员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及副会长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微信交流群，享受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名代表入群资格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单位享有参与医药物流分会召开的理事代表大会的权益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每月享受一次专属会员服务，获得当月医药行业简报讯息等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会员期内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享有4人次免费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参加协会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举办的品牌会议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限医药研发、生产、批发、零售、物流企业及医疗机构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ind w:left="-152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99" w:type="dxa"/>
            <w:vMerge w:val="continue"/>
          </w:tcPr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（三）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val="en-US" w:eastAsia="zh-CN"/>
              </w:rPr>
              <w:t>应尽的的义务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参与对口相关标准的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制定，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积极配合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会完成行业调研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数据采集等各项工作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2.积极参与协会组织的各项活动，并在活动中承担部分工作（如：会议主持、巡展等）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应积极参与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医药物流分会组织的研讨会、沙龙活动等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并提出对行业内有建设性的意见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全年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最少在一次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大会上做为支持单位参与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5.按时、按规缴纳会费。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ind w:left="-152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899" w:type="dxa"/>
            <w:vMerge w:val="continue"/>
          </w:tcPr>
          <w:p>
            <w:pPr>
              <w:pStyle w:val="12"/>
              <w:spacing w:line="340" w:lineRule="auto"/>
              <w:ind w:left="311" w:right="274"/>
              <w:jc w:val="center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（四）退会条件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1.自愿退出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2.符合条件升入更高级别会员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3.在一个会员期内未参加协会组织的任何活动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4.连续两次未参加全体代表大会（理事代表大会或会员代表大会）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5.未按时、按规缴纳会费。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ind w:left="-152"/>
              <w:rPr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44" w:tblpY="242"/>
        <w:tblOverlap w:val="never"/>
        <w:tblW w:w="1005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7870"/>
        <w:gridCol w:w="12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906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常务理事单位</w:t>
            </w:r>
          </w:p>
        </w:tc>
        <w:tc>
          <w:tcPr>
            <w:tcW w:w="7870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val="en-US" w:eastAsia="zh-CN"/>
              </w:rPr>
              <w:t>（一）入会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</w:rPr>
              <w:t>条件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1.自愿加入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;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2.企业成立满1年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符合相关法律法规，合法注册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经营的企业，无行业不良影响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-1"/>
                <w:numId w:val="0"/>
              </w:numPr>
              <w:jc w:val="lef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4.有意愿积极参与医药物流分会组织的各项工作。</w:t>
            </w:r>
          </w:p>
        </w:tc>
        <w:tc>
          <w:tcPr>
            <w:tcW w:w="1277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237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237"/>
              <w:ind w:left="28"/>
              <w:rPr>
                <w:b/>
                <w:sz w:val="28"/>
              </w:rPr>
            </w:pPr>
          </w:p>
          <w:p>
            <w:pPr>
              <w:pStyle w:val="12"/>
              <w:spacing w:before="237"/>
              <w:rPr>
                <w:b/>
                <w:sz w:val="28"/>
              </w:rPr>
            </w:pPr>
          </w:p>
          <w:p>
            <w:pPr>
              <w:pStyle w:val="12"/>
              <w:spacing w:before="237"/>
              <w:rPr>
                <w:b/>
                <w:sz w:val="28"/>
              </w:rPr>
            </w:pPr>
          </w:p>
          <w:p>
            <w:pPr>
              <w:pStyle w:val="12"/>
              <w:spacing w:before="237"/>
              <w:rPr>
                <w:b/>
                <w:sz w:val="28"/>
              </w:rPr>
            </w:pPr>
          </w:p>
          <w:p>
            <w:pPr>
              <w:pStyle w:val="12"/>
              <w:spacing w:before="23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8000</w:t>
            </w:r>
            <w:r>
              <w:rPr>
                <w:b/>
                <w:sz w:val="28"/>
              </w:rPr>
              <w:t>/年</w:t>
            </w:r>
          </w:p>
          <w:p>
            <w:pPr>
              <w:pStyle w:val="12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2"/>
              <w:ind w:left="-152"/>
              <w:rPr>
                <w:sz w:val="24"/>
              </w:rPr>
            </w:pPr>
            <w:r>
              <w:rPr>
                <w:sz w:val="24"/>
              </w:rPr>
              <w:t>，</w:t>
            </w: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213"/>
              <w:ind w:left="-152"/>
              <w:rPr>
                <w:sz w:val="24"/>
              </w:rPr>
            </w:pPr>
            <w:r>
              <w:rPr>
                <w:sz w:val="24"/>
              </w:rPr>
              <w:t>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906" w:type="dxa"/>
            <w:vMerge w:val="continue"/>
          </w:tcPr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  <w:t>（二）享受的权益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颁发中国物流与采购联合会医药物流分会常务理事单位铭牌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颁发中国物流与采购联合会医药物流分会常务理事个人证书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参与理事会共同研究决定医药物流分会发展方向，任期满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后享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有优先选举权和被选举权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所有商务活动均享受会员优惠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官网首页设立图片广告，与企业网站建立链接（6 个月），同时在首页重点推荐栏目对常务理事单位进行重点推荐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医药物流分会官方微信平台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在会员期内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为常务理事单位发布企业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重大新闻3次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在医药物流分会官方网站中发布软文4 次（内容符合相关法律法规）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医药物流分会将为常务理事单位提供部分行业数据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行业调研报告，以供企业进行参考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可免费参加协会针对会员组织的公益培训活动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10.每年可获得2本医药物流分会当年出版的《中国医药物流行业发展报告》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每月享受1次专属会员服务，获得当月医药行业简报讯息等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邀加入分会会员微信交流群，享受1名代表入群资格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享有参与医药物流分会召开的理事代表大会的权益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14.会员期内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享有3人次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参加协会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举办的品牌会议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限医药研发、生产、批发、零售、物流企业及医疗机构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spacing w:before="213"/>
              <w:ind w:left="-152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906" w:type="dxa"/>
            <w:vMerge w:val="continue"/>
          </w:tcPr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numPr>
                <w:ilvl w:val="-1"/>
                <w:numId w:val="0"/>
              </w:numPr>
              <w:rPr>
                <w:rFonts w:ascii="仿宋" w:hAnsi="仿宋" w:eastAsia="仿宋"/>
                <w:b/>
                <w:bCs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val="en-US" w:eastAsia="zh-CN"/>
              </w:rPr>
              <w:t>（三）应尽的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</w:rPr>
              <w:t>义务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参与对口相关标准的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制定，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积极配合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会完成行业调研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数据采集等各项工作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-1"/>
                <w:numId w:val="0"/>
              </w:num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每年至少参加协会行业交流活动两次，企业理事负责人或代表参加每年一次会员理事会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应积极参与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医药物流分会组织的研讨会、沙龙活动等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并提出对行业内有建设性的意见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;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4.按时、按规缴纳会费。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spacing w:before="213"/>
              <w:ind w:left="-152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906" w:type="dxa"/>
            <w:vMerge w:val="continue"/>
          </w:tcPr>
          <w:p>
            <w:pPr>
              <w:pStyle w:val="12"/>
              <w:spacing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退会条件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1.自愿退出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2.符合条件升入更高级别会员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3.在一个会员期内未参加协会组织的任何活动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4.连续两次未参加全体代表大会（理事代表大会或会员代表大会）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5.未按时、按规缴纳会费。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</w:p>
        </w:tc>
        <w:tc>
          <w:tcPr>
            <w:tcW w:w="1277" w:type="dxa"/>
            <w:vMerge w:val="continue"/>
          </w:tcPr>
          <w:p>
            <w:pPr>
              <w:pStyle w:val="12"/>
              <w:spacing w:before="213"/>
              <w:ind w:left="-152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906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理事单位</w:t>
            </w:r>
          </w:p>
        </w:tc>
        <w:tc>
          <w:tcPr>
            <w:tcW w:w="7870" w:type="dxa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（一）入会条件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1.自愿加入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2.符合相关法律法规，合法注册经营的企业，无行业不良影响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3.有意愿积极参与医药物流分会组织开展的各项工作。</w:t>
            </w:r>
          </w:p>
        </w:tc>
        <w:tc>
          <w:tcPr>
            <w:tcW w:w="1277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000/年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906" w:type="dxa"/>
            <w:vMerge w:val="continue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  <w:t>（二）享受的权益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颁发中国物流与采购联合会医药物流分会理事单位铭牌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颁发中国物流与采购联合会医药物流分会理事个人证书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组织的所有商务活动均享受会员优惠政策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在医药物流分会官网首页设立图片广告与企业网站建立链接（3 个月）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同时在首页重点推荐栏目对理事单位进行重点推荐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5.医药物流分会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官方微信平台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在会员期内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为理事单位发布相关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企业重大新闻2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医药物流分会将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为理事单位提供部分行业数据，供企业进行参考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每月享受1次专属会员服务，获得当月医药行业简报讯息等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8.参加每年1次的理事代表大会并对协会工作提出建议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9.每年可获得1本医药物流分会当年出版的《中国医药物流行业发展报告》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邀加入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会员微信交流群，享受1名代表入群资格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11.享有参与协会召开的理事代表大会的权益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12.会员期内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享有2人次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医药物流分会举办的品牌会议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限医药研发、生产、批发、零售、物流企业及医疗机构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）。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</w:p>
        </w:tc>
        <w:tc>
          <w:tcPr>
            <w:tcW w:w="1277" w:type="dxa"/>
            <w:vMerge w:val="continue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06" w:type="dxa"/>
            <w:vMerge w:val="continue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（三）应尽的义务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参与对口相关标准的制定，协助协会完成行业调研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数据采集等各项工作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每年至少参加协会行业交流活动两次，企业理事负责人或代表参加每年一次会员理事会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应积极参与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协会组织的研讨会、沙龙活动等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并提出对行业内有建设性的意见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4.按时、按规缴纳会费。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906" w:type="dxa"/>
            <w:vMerge w:val="continue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（四）退会条件：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1.自愿退出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2.符合条件升入更高级别会员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3.在一个会员期内未参加医药物流分会组织的任何活动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4.连续两次未参加全体代表大会（理事代表大会或会员代表大会）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5.未按时、按规缴纳会费。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</w:p>
        </w:tc>
        <w:tc>
          <w:tcPr>
            <w:tcW w:w="1277" w:type="dxa"/>
            <w:vMerge w:val="continue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906" w:type="dxa"/>
            <w:vMerge w:val="restart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会员单位</w:t>
            </w:r>
          </w:p>
        </w:tc>
        <w:tc>
          <w:tcPr>
            <w:tcW w:w="7870" w:type="dxa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  <w:t>（一）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18"/>
              </w:rPr>
              <w:t>入会条件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1.自愿加入;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2.符合相关法律法规，合法注册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经营的企业，无行业不良影响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有意愿积极参与医药物流分会组织开展的各项工作。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</w:p>
          <w:p>
            <w:pPr>
              <w:pStyle w:val="12"/>
              <w:ind w:left="28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000/年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</w:trPr>
        <w:tc>
          <w:tcPr>
            <w:tcW w:w="906" w:type="dxa"/>
            <w:vMerge w:val="continue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18"/>
                <w:lang w:val="en-US" w:eastAsia="zh-CN"/>
              </w:rPr>
              <w:t>（二）享受的权益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颁发中国物流与采购联合会医药物流分会会员单位铭牌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参加分会组织的所有商务活动均享受会员优惠政策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官网首页设立图片广告与企业网站建立链接（1 个月）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同时在首页重点推荐栏目对会员单位进行重点推荐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4.医药物流分会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官方微信平台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会员期内发布企业重大新闻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为会员单位提供部分行业数据，供企业进行参考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每月享受会员专属服务1次，获得当月医药行业简报讯息等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7.每年可获得1本医药物流分会当年出版的《中国医药物流行业发展报告》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受邀加入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会员微信交流群，享受1名代表入群资格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9.享有参与医药物流分会召开的全体会员代表大会的权益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10.会员期内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享有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1人次免费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医药物流分会举办的品牌会议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限医药研发、生产、批发、零售、物流企业及医疗机构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906" w:type="dxa"/>
            <w:vMerge w:val="continue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（三）应尽的义务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1.每年至少一次参加医药物流分会组织的活动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协助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医药物流分会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完成行业调研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数据采集等各项工作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3.按时、按规缴纳会费。</w:t>
            </w:r>
          </w:p>
        </w:tc>
        <w:tc>
          <w:tcPr>
            <w:tcW w:w="1277" w:type="dxa"/>
            <w:vMerge w:val="continue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06" w:type="dxa"/>
            <w:vMerge w:val="continue"/>
          </w:tcPr>
          <w:p>
            <w:pPr>
              <w:pStyle w:val="12"/>
              <w:spacing w:before="164" w:line="340" w:lineRule="auto"/>
              <w:ind w:left="318" w:right="274"/>
              <w:jc w:val="both"/>
              <w:rPr>
                <w:b/>
                <w:sz w:val="28"/>
              </w:rPr>
            </w:pPr>
          </w:p>
        </w:tc>
        <w:tc>
          <w:tcPr>
            <w:tcW w:w="7870" w:type="dxa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（四）退会条件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1.自愿退出，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2.符合条件升入更高级别会员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3.在一个会员期内未参加至少1次医药物流分会组织的任何活动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4.未按时、按规缴纳会费。</w:t>
            </w:r>
          </w:p>
          <w:p>
            <w:pPr>
              <w:pStyle w:val="12"/>
              <w:spacing w:line="305" w:lineRule="exact"/>
              <w:ind w:left="29"/>
              <w:rPr>
                <w:sz w:val="24"/>
              </w:rPr>
            </w:pPr>
          </w:p>
        </w:tc>
        <w:tc>
          <w:tcPr>
            <w:tcW w:w="1277" w:type="dxa"/>
            <w:vMerge w:val="continue"/>
          </w:tcPr>
          <w:p>
            <w:pPr>
              <w:pStyle w:val="12"/>
              <w:ind w:left="28"/>
              <w:rPr>
                <w:b/>
                <w:sz w:val="28"/>
              </w:rPr>
            </w:pPr>
          </w:p>
        </w:tc>
      </w:tr>
    </w:tbl>
    <w:p>
      <w:pPr>
        <w:pStyle w:val="4"/>
        <w:rPr>
          <w:rFonts w:ascii="宋体"/>
          <w:b/>
          <w:sz w:val="20"/>
        </w:rPr>
      </w:pPr>
    </w:p>
    <w:tbl>
      <w:tblPr>
        <w:tblStyle w:val="6"/>
        <w:tblpPr w:leftFromText="180" w:rightFromText="180" w:vertAnchor="text" w:horzAnchor="page" w:tblpX="1121" w:tblpY="396"/>
        <w:tblOverlap w:val="never"/>
        <w:tblW w:w="10061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7837"/>
        <w:gridCol w:w="13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7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会员单位服务日：每月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会员专属服务热线：010-8377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5866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会员专属服务信箱：service@asca.org.cn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会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0" w:leftChars="0" w:right="0" w:rightChars="0" w:firstLine="281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专 属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34" w:right="1800" w:bottom="1440" w:left="1800" w:header="0" w:footer="910" w:gutter="0"/>
          <w:cols w:space="720" w:num="1"/>
        </w:sect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中国物流与采购联合会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医药物流分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会</w:t>
      </w:r>
    </w:p>
    <w:tbl>
      <w:tblPr>
        <w:tblStyle w:val="6"/>
        <w:tblpPr w:leftFromText="180" w:rightFromText="180" w:vertAnchor="text" w:horzAnchor="page" w:tblpXSpec="center" w:tblpY="601"/>
        <w:tblOverlap w:val="never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85"/>
        <w:gridCol w:w="1461"/>
        <w:gridCol w:w="581"/>
        <w:gridCol w:w="260"/>
        <w:gridCol w:w="641"/>
        <w:gridCol w:w="482"/>
        <w:gridCol w:w="580"/>
        <w:gridCol w:w="891"/>
        <w:gridCol w:w="704"/>
        <w:gridCol w:w="53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2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 国企□  B事业□  C 独资□  D合资□  E民营□  F其他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业务经营范围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工商注册号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年营业额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20"/>
                <w:tab w:val="center" w:pos="4153"/>
                <w:tab w:val="right" w:pos="8306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副会长/理事/会员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指定人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指定人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固定联系人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固定联系人邮箱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会员服务期限</w:t>
            </w:r>
          </w:p>
        </w:tc>
        <w:tc>
          <w:tcPr>
            <w:tcW w:w="72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96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*下栏仅注册副会长单位企业填写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注册副会长单位级别的企业，必须有两家副会长单位以书面形式进行推荐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推荐单位名称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52" w:rightChars="-69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推荐单位名称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52" w:rightChars="-69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1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1、请在您申请的级别中打 √注明：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□会员单位年费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□理事单位年费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000元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□常务理事单位年费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元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0000元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2、费用缴纳帐户：</w:t>
            </w:r>
          </w:p>
          <w:p>
            <w:pPr>
              <w:pStyle w:val="4"/>
              <w:spacing w:before="145" w:line="360" w:lineRule="auto"/>
              <w:ind w:right="299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北京中物医联企业管理有限公司</w:t>
            </w:r>
          </w:p>
          <w:p>
            <w:pPr>
              <w:pStyle w:val="4"/>
              <w:spacing w:before="145" w:line="360" w:lineRule="auto"/>
              <w:ind w:right="299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户 行：招商银行股份有限公司北京万寿路支行</w:t>
            </w:r>
          </w:p>
          <w:p>
            <w:pPr>
              <w:pStyle w:val="4"/>
              <w:tabs>
                <w:tab w:val="left" w:pos="2267"/>
              </w:tabs>
              <w:spacing w:before="2"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号：110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941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pPr w:leftFromText="180" w:rightFromText="180" w:vertAnchor="text" w:horzAnchor="page" w:tblpX="8" w:tblpY="-2442"/>
              <w:tblOverlap w:val="never"/>
              <w:tblW w:w="96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66"/>
              <w:gridCol w:w="4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8" w:hRule="atLeast"/>
              </w:trPr>
              <w:tc>
                <w:tcPr>
                  <w:tcW w:w="4766" w:type="dxa"/>
                </w:tcPr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单位负责人签字：</w:t>
                  </w:r>
                </w:p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联系人：</w:t>
                  </w:r>
                </w:p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</w:p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邮箱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单位盖章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4838" w:type="dxa"/>
                </w:tcPr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秘书处负责人签字：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eastAsia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常洋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电</w:t>
                  </w:r>
                  <w:r>
                    <w:rPr>
                      <w:rFonts w:hint="eastAsia" w:cs="仿宋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话：</w:t>
                  </w: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18610639524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邮</w:t>
                  </w:r>
                  <w:r>
                    <w:rPr>
                      <w:rFonts w:hint="eastAsia" w:cs="仿宋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箱：</w:t>
                  </w: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changyang@cpl.org.cn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仿宋" w:hAnsi="仿宋" w:eastAsia="仿宋" w:cs="仿宋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单位盖章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</w:tbl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spacing w:before="212"/>
        <w:ind w:right="0"/>
        <w:jc w:val="left"/>
        <w:rPr>
          <w:rFonts w:hint="eastAsia" w:ascii="Times New Roman"/>
          <w:sz w:val="20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6316345</wp:posOffset>
              </wp:positionH>
              <wp:positionV relativeFrom="page">
                <wp:posOffset>9923145</wp:posOffset>
              </wp:positionV>
              <wp:extent cx="321310" cy="17272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97.35pt;margin-top:781.35pt;height:13.6pt;width:25.3pt;mso-position-horizontal-relative:page;mso-position-vertical-relative:page;z-index:-251657216;mso-width-relative:page;mso-height-relative:page;" filled="f" stroked="f" coordsize="21600,21600" o:gfxdata="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/7N8DbAAAADgEAAA8AAAAAAAAAAQAgAAAAIgAAAGRycy9kb3ducmV2LnhtbFBL&#10;AQIUABQAAAAIAIdO4kCRzPfd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568"/>
  <w:drawingGridVerticalSpacing w:val="566"/>
  <w:displayHorizontalDrawingGridEvery w:val="1"/>
  <w:displayVerticalDrawingGridEvery w:val="1"/>
  <w:doNotUseMarginsForDrawingGridOrigin w:val="1"/>
  <w:drawingGridHorizontalOrigin w:val="567"/>
  <w:drawingGridVerticalOrigin w:val="567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jE0ZGIxYjA0NzIyOTc1YzlmYjFiNTU2MTRiMjEifQ=="/>
  </w:docVars>
  <w:rsids>
    <w:rsidRoot w:val="00000000"/>
    <w:rsid w:val="10AA6B0E"/>
    <w:rsid w:val="1373141D"/>
    <w:rsid w:val="151C14CD"/>
    <w:rsid w:val="16131C7C"/>
    <w:rsid w:val="16A2725E"/>
    <w:rsid w:val="1A6E2FAD"/>
    <w:rsid w:val="1BC4749F"/>
    <w:rsid w:val="1E8019A2"/>
    <w:rsid w:val="20C932CD"/>
    <w:rsid w:val="24881C5F"/>
    <w:rsid w:val="25BF2CC0"/>
    <w:rsid w:val="28C572FA"/>
    <w:rsid w:val="28E30356"/>
    <w:rsid w:val="2AF26059"/>
    <w:rsid w:val="2B7D1482"/>
    <w:rsid w:val="2C4E7937"/>
    <w:rsid w:val="2D1F4090"/>
    <w:rsid w:val="326632D9"/>
    <w:rsid w:val="381D755C"/>
    <w:rsid w:val="3A396F6B"/>
    <w:rsid w:val="3C8F37BA"/>
    <w:rsid w:val="3CEA09F1"/>
    <w:rsid w:val="3EA44D93"/>
    <w:rsid w:val="442039BE"/>
    <w:rsid w:val="46106ED0"/>
    <w:rsid w:val="471E59EB"/>
    <w:rsid w:val="47E960F9"/>
    <w:rsid w:val="48DA439B"/>
    <w:rsid w:val="4FFE6D07"/>
    <w:rsid w:val="511A0B78"/>
    <w:rsid w:val="51C5728C"/>
    <w:rsid w:val="53E4461F"/>
    <w:rsid w:val="55D81F24"/>
    <w:rsid w:val="58FC58DC"/>
    <w:rsid w:val="5A441F82"/>
    <w:rsid w:val="5D340F38"/>
    <w:rsid w:val="626B41F4"/>
    <w:rsid w:val="633D5AF8"/>
    <w:rsid w:val="6510354D"/>
    <w:rsid w:val="65A54AF2"/>
    <w:rsid w:val="6A974DD2"/>
    <w:rsid w:val="70476BD6"/>
    <w:rsid w:val="71DF174D"/>
    <w:rsid w:val="758F029A"/>
    <w:rsid w:val="7880612E"/>
    <w:rsid w:val="ADF4F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66"/>
      <w:outlineLvl w:val="1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2"/>
      <w:ind w:left="1428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link w:val="13"/>
    <w:qFormat/>
    <w:uiPriority w:val="1"/>
    <w:pPr>
      <w:spacing w:before="201"/>
      <w:ind w:left="1688" w:hanging="421"/>
    </w:pPr>
    <w:rPr>
      <w:rFonts w:ascii="仿宋" w:hAnsi="仿宋" w:eastAsia="仿宋" w:cs="仿宋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3">
    <w:name w:val="List Paragraph Char"/>
    <w:link w:val="1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5389</Words>
  <Characters>5654</Characters>
  <TotalTime>1</TotalTime>
  <ScaleCrop>false</ScaleCrop>
  <LinksUpToDate>false</LinksUpToDate>
  <CharactersWithSpaces>5833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2019-01-23T21:42:00Z</dcterms:created>
  <dc:creator>Administrator</dc:creator>
  <cp:lastModifiedBy>Betsy</cp:lastModifiedBy>
  <dcterms:modified xsi:type="dcterms:W3CDTF">2023-03-02T03:36:45Z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2019-01-23T00:00:00Z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050E741D76DF41A488BE8C1592845BA7</vt:lpwstr>
  </property>
</Properties>
</file>